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BBE6" w14:textId="53F5794C" w:rsidR="00D87CD4" w:rsidRPr="003B399B" w:rsidRDefault="00D87CD4" w:rsidP="00D87CD4">
      <w:pPr>
        <w:spacing w:after="180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O</w:t>
      </w:r>
      <w:r w:rsidRPr="003B399B">
        <w:rPr>
          <w:rFonts w:ascii="Arial" w:hAnsi="Arial" w:cs="Arial"/>
          <w:b/>
          <w:bCs/>
          <w:sz w:val="30"/>
          <w:szCs w:val="30"/>
        </w:rPr>
        <w:t>PIS PRZEDMIOTU ZAMÓWIENIA (OPZ)</w:t>
      </w:r>
    </w:p>
    <w:p w14:paraId="60CE5380" w14:textId="1F242EA9" w:rsidR="00D87CD4" w:rsidRPr="006A7AFB" w:rsidRDefault="00D87CD4" w:rsidP="00D87CD4">
      <w:pPr>
        <w:rPr>
          <w:rFonts w:ascii="Arial" w:hAnsi="Arial" w:cs="Arial"/>
          <w:sz w:val="28"/>
          <w:szCs w:val="28"/>
        </w:rPr>
      </w:pPr>
      <w:r w:rsidRPr="003B399B">
        <w:rPr>
          <w:rFonts w:ascii="Arial" w:hAnsi="Arial" w:cs="Arial"/>
          <w:b/>
          <w:bCs/>
          <w:sz w:val="24"/>
          <w:szCs w:val="24"/>
        </w:rPr>
        <w:t>Przedmiot zamówienia:</w:t>
      </w:r>
      <w:r w:rsidRPr="003B399B">
        <w:rPr>
          <w:rFonts w:ascii="Arial" w:hAnsi="Arial" w:cs="Arial"/>
          <w:sz w:val="24"/>
          <w:szCs w:val="24"/>
        </w:rPr>
        <w:t xml:space="preserve"> </w:t>
      </w:r>
      <w:r w:rsidRPr="006A7AFB">
        <w:rPr>
          <w:rFonts w:ascii="Arial" w:hAnsi="Arial" w:cs="Arial"/>
          <w:sz w:val="28"/>
          <w:szCs w:val="28"/>
        </w:rPr>
        <w:t>Fotel ginekologiczny</w:t>
      </w:r>
      <w:r w:rsidR="006A7AFB" w:rsidRPr="006A7AFB">
        <w:rPr>
          <w:rFonts w:ascii="Arial" w:hAnsi="Arial" w:cs="Arial"/>
          <w:sz w:val="28"/>
          <w:szCs w:val="28"/>
        </w:rPr>
        <w:t xml:space="preserve"> z dostawą na ul. Szamarzewskiego 84, Poznań </w:t>
      </w:r>
      <w:r w:rsidRPr="006A7AFB">
        <w:rPr>
          <w:rFonts w:ascii="Arial" w:hAnsi="Arial" w:cs="Arial"/>
          <w:sz w:val="28"/>
          <w:szCs w:val="28"/>
        </w:rPr>
        <w:t xml:space="preserve"> </w:t>
      </w:r>
    </w:p>
    <w:p w14:paraId="66663362" w14:textId="77777777" w:rsidR="00D87CD4" w:rsidRPr="003B399B" w:rsidRDefault="00D87CD4" w:rsidP="00D87CD4">
      <w:pPr>
        <w:spacing w:after="180"/>
        <w:rPr>
          <w:rFonts w:ascii="Arial" w:hAnsi="Arial" w:cs="Arial"/>
          <w:b/>
          <w:bCs/>
          <w:sz w:val="30"/>
          <w:szCs w:val="30"/>
        </w:rPr>
      </w:pPr>
      <w:r w:rsidRPr="003B399B">
        <w:rPr>
          <w:rFonts w:ascii="Arial" w:hAnsi="Arial" w:cs="Arial"/>
          <w:b/>
          <w:bCs/>
          <w:sz w:val="30"/>
          <w:szCs w:val="30"/>
        </w:rPr>
        <w:t>1. Wymagania funkcjonalne i techniczne (Parametry obligatoryjne):</w:t>
      </w:r>
    </w:p>
    <w:p w14:paraId="79CE274A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Regulacja wysokości:</w:t>
      </w:r>
      <w:r w:rsidRPr="003B399B">
        <w:rPr>
          <w:rFonts w:ascii="Arial" w:hAnsi="Arial" w:cs="Arial"/>
          <w:sz w:val="24"/>
          <w:szCs w:val="24"/>
        </w:rPr>
        <w:t xml:space="preserve"> Elektryczna regulacja wysokości realizowana za pomocą siłownika w szerokim zakresie, umożliwiająca opuszczenie siedziska do poziomu </w:t>
      </w:r>
      <w:r w:rsidRPr="003B399B">
        <w:rPr>
          <w:rFonts w:ascii="Arial" w:hAnsi="Arial" w:cs="Arial"/>
          <w:b/>
          <w:bCs/>
          <w:sz w:val="24"/>
          <w:szCs w:val="24"/>
        </w:rPr>
        <w:t>maksymalnie 42 cm</w:t>
      </w:r>
      <w:r w:rsidRPr="003B399B">
        <w:rPr>
          <w:rFonts w:ascii="Arial" w:hAnsi="Arial" w:cs="Arial"/>
          <w:sz w:val="24"/>
          <w:szCs w:val="24"/>
        </w:rPr>
        <w:t xml:space="preserve"> (lub niżej) oraz podniesienie do poziomu </w:t>
      </w:r>
      <w:r w:rsidRPr="003B399B">
        <w:rPr>
          <w:rFonts w:ascii="Arial" w:hAnsi="Arial" w:cs="Arial"/>
          <w:b/>
          <w:bCs/>
          <w:sz w:val="24"/>
          <w:szCs w:val="24"/>
        </w:rPr>
        <w:t>co najmniej 48 cm</w:t>
      </w:r>
      <w:r w:rsidRPr="003B399B">
        <w:rPr>
          <w:rFonts w:ascii="Arial" w:hAnsi="Arial" w:cs="Arial"/>
          <w:sz w:val="24"/>
          <w:szCs w:val="24"/>
        </w:rPr>
        <w:t xml:space="preserve"> (lub wyżej), w celu zapewnienia łatwego wsiadania pacjentkom na wózkach inwalidzkich oraz ergonomii pracy personelu.</w:t>
      </w:r>
    </w:p>
    <w:p w14:paraId="74C64946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Nośność (Maksymalne obciążenie):</w:t>
      </w:r>
      <w:r w:rsidRPr="003B399B">
        <w:rPr>
          <w:rFonts w:ascii="Arial" w:hAnsi="Arial" w:cs="Arial"/>
          <w:sz w:val="24"/>
          <w:szCs w:val="24"/>
        </w:rPr>
        <w:t xml:space="preserve"> Wysoka nośność konstrukcji wynosząca </w:t>
      </w:r>
      <w:r w:rsidRPr="003B399B">
        <w:rPr>
          <w:rFonts w:ascii="Arial" w:hAnsi="Arial" w:cs="Arial"/>
          <w:b/>
          <w:bCs/>
          <w:sz w:val="24"/>
          <w:szCs w:val="24"/>
        </w:rPr>
        <w:t>minimum 150 kg</w:t>
      </w:r>
      <w:r w:rsidRPr="003B399B">
        <w:rPr>
          <w:rFonts w:ascii="Arial" w:hAnsi="Arial" w:cs="Arial"/>
          <w:sz w:val="24"/>
          <w:szCs w:val="24"/>
        </w:rPr>
        <w:t xml:space="preserve">, gwarantująca bezpieczeństwo pacjentek </w:t>
      </w:r>
      <w:proofErr w:type="spellStart"/>
      <w:r w:rsidRPr="003B399B">
        <w:rPr>
          <w:rFonts w:ascii="Arial" w:hAnsi="Arial" w:cs="Arial"/>
          <w:sz w:val="24"/>
          <w:szCs w:val="24"/>
        </w:rPr>
        <w:t>bariatrycznych</w:t>
      </w:r>
      <w:proofErr w:type="spellEnd"/>
      <w:r w:rsidRPr="003B399B">
        <w:rPr>
          <w:rFonts w:ascii="Arial" w:hAnsi="Arial" w:cs="Arial"/>
          <w:sz w:val="24"/>
          <w:szCs w:val="24"/>
        </w:rPr>
        <w:t>.</w:t>
      </w:r>
    </w:p>
    <w:p w14:paraId="75F60B52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Konstrukcja segmentowa:</w:t>
      </w:r>
      <w:r w:rsidRPr="003B399B">
        <w:rPr>
          <w:rFonts w:ascii="Arial" w:hAnsi="Arial" w:cs="Arial"/>
          <w:sz w:val="24"/>
          <w:szCs w:val="24"/>
        </w:rPr>
        <w:t xml:space="preserve"> Konstrukcja fotela wielosegmentowa, umożliwiająca niezależną, płynną regulację kąta pochylenia oparcia pleców oraz segmentu siedziska.</w:t>
      </w:r>
    </w:p>
    <w:p w14:paraId="7B1D4398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Podłokietniki:</w:t>
      </w:r>
      <w:r w:rsidRPr="003B399B">
        <w:rPr>
          <w:rFonts w:ascii="Arial" w:hAnsi="Arial" w:cs="Arial"/>
          <w:sz w:val="24"/>
          <w:szCs w:val="24"/>
        </w:rPr>
        <w:t xml:space="preserve"> Fotel wyposażony w podłokietniki z możliwością ich odchylania lub demontażu, umożliwiające boczny transfer pacjentki z wózka inwalidzkiego.</w:t>
      </w:r>
    </w:p>
    <w:p w14:paraId="2CB71355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Podparcie nóg:</w:t>
      </w:r>
      <w:r w:rsidRPr="003B399B">
        <w:rPr>
          <w:rFonts w:ascii="Arial" w:hAnsi="Arial" w:cs="Arial"/>
          <w:sz w:val="24"/>
          <w:szCs w:val="24"/>
        </w:rPr>
        <w:t xml:space="preserve"> Regulowane podkolanniki (lub alternatywnie regulowane podpórki łydkowe) zapewniające stabilne, wygodne i bezpieczne ułożenie kończyn dolnych pacjentki.</w:t>
      </w:r>
    </w:p>
    <w:p w14:paraId="066D7A20" w14:textId="7F6CEBEA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Przystosowanie do barierek bocznych:</w:t>
      </w:r>
      <w:r w:rsidRPr="003B399B">
        <w:rPr>
          <w:rFonts w:ascii="Arial" w:hAnsi="Arial" w:cs="Arial"/>
          <w:sz w:val="24"/>
          <w:szCs w:val="24"/>
        </w:rPr>
        <w:t xml:space="preserve"> Konstrukcja fotela musi umożliwiać </w:t>
      </w:r>
      <w:r w:rsidR="00281671">
        <w:rPr>
          <w:rFonts w:ascii="Arial" w:hAnsi="Arial" w:cs="Arial"/>
          <w:sz w:val="24"/>
          <w:szCs w:val="24"/>
        </w:rPr>
        <w:t>wyposażenie w barierki boczne, które można składać lub wypinać – dla osób z ograniczoną stabilnością tułowia.</w:t>
      </w:r>
    </w:p>
    <w:p w14:paraId="30F2D3B9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Sterowanie:</w:t>
      </w:r>
      <w:r w:rsidRPr="003B399B">
        <w:rPr>
          <w:rFonts w:ascii="Arial" w:hAnsi="Arial" w:cs="Arial"/>
          <w:sz w:val="24"/>
          <w:szCs w:val="24"/>
        </w:rPr>
        <w:t xml:space="preserve"> Sterowanie funkcjami elektrycznymi fotela (wysokość, nachylenie segmentów) za pomocą pilota ręcznego lub sterownika nożnego.</w:t>
      </w:r>
    </w:p>
    <w:p w14:paraId="6EB13F97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Tapicerka:</w:t>
      </w:r>
      <w:r w:rsidRPr="003B399B">
        <w:rPr>
          <w:rFonts w:ascii="Arial" w:hAnsi="Arial" w:cs="Arial"/>
          <w:sz w:val="24"/>
          <w:szCs w:val="24"/>
        </w:rPr>
        <w:t xml:space="preserve"> Bezszwowa, zmywalna, odporna na dezynfekcję środkami chemicznymi stosowanymi w placówkach medycznych, wykonana z materiałów medycznych wysokiej jakości.</w:t>
      </w:r>
    </w:p>
    <w:p w14:paraId="20E16677" w14:textId="50D875EC" w:rsidR="00D87CD4" w:rsidRPr="003B399B" w:rsidRDefault="00D87CD4" w:rsidP="00D87CD4">
      <w:pPr>
        <w:spacing w:after="180"/>
        <w:rPr>
          <w:rFonts w:ascii="Arial" w:hAnsi="Arial" w:cs="Arial"/>
          <w:b/>
          <w:bCs/>
          <w:sz w:val="30"/>
          <w:szCs w:val="30"/>
        </w:rPr>
      </w:pPr>
      <w:r w:rsidRPr="003B399B">
        <w:rPr>
          <w:rFonts w:ascii="Arial" w:hAnsi="Arial" w:cs="Arial"/>
          <w:b/>
          <w:bCs/>
          <w:sz w:val="30"/>
          <w:szCs w:val="30"/>
        </w:rPr>
        <w:t>2. Wymagania opcjonalne:</w:t>
      </w:r>
    </w:p>
    <w:p w14:paraId="02249835" w14:textId="77777777" w:rsidR="00D87CD4" w:rsidRPr="003B399B" w:rsidRDefault="00D87CD4" w:rsidP="00D87CD4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Mobilność:</w:t>
      </w:r>
      <w:r w:rsidRPr="003B399B">
        <w:rPr>
          <w:rFonts w:ascii="Arial" w:hAnsi="Arial" w:cs="Arial"/>
          <w:sz w:val="24"/>
          <w:szCs w:val="24"/>
        </w:rPr>
        <w:t xml:space="preserve"> Fotel wyposażony w zintegrowany system jezdny (kółka) z centralną lub indywidualną blokadą kół, umożliwiający łatwe manewrowanie sprzętem wewnątrz gabinetu.</w:t>
      </w:r>
    </w:p>
    <w:p w14:paraId="50EFECD7" w14:textId="77777777" w:rsidR="00D87CD4" w:rsidRPr="003B399B" w:rsidRDefault="00D87CD4" w:rsidP="00D87CD4">
      <w:pPr>
        <w:spacing w:after="180"/>
        <w:rPr>
          <w:rFonts w:ascii="Arial" w:hAnsi="Arial" w:cs="Arial"/>
          <w:b/>
          <w:bCs/>
          <w:sz w:val="30"/>
          <w:szCs w:val="30"/>
        </w:rPr>
      </w:pPr>
      <w:r w:rsidRPr="003B399B">
        <w:rPr>
          <w:rFonts w:ascii="Arial" w:hAnsi="Arial" w:cs="Arial"/>
          <w:b/>
          <w:bCs/>
          <w:sz w:val="30"/>
          <w:szCs w:val="30"/>
        </w:rPr>
        <w:t>3. Wymagania formalne:</w:t>
      </w:r>
    </w:p>
    <w:p w14:paraId="1F5DC7CE" w14:textId="77777777" w:rsidR="00D87CD4" w:rsidRPr="003B399B" w:rsidRDefault="00D87CD4" w:rsidP="00D87CD4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sz w:val="24"/>
          <w:szCs w:val="24"/>
        </w:rPr>
        <w:t>Produkt musi posiadać aktualny status wyrobu medycznego, certyfikat CE oraz deklarację zgodności.</w:t>
      </w:r>
    </w:p>
    <w:p w14:paraId="6BC6F031" w14:textId="77777777" w:rsidR="00D87CD4" w:rsidRPr="003B399B" w:rsidRDefault="00D87CD4" w:rsidP="00D87CD4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sz w:val="24"/>
          <w:szCs w:val="24"/>
        </w:rPr>
        <w:t>Gwarancja: Minimum 24 miesiące na całe urządzenie, w tym na podzespoły elektryczne.</w:t>
      </w:r>
    </w:p>
    <w:p w14:paraId="20C546A6" w14:textId="77777777" w:rsidR="00FE30FE" w:rsidRPr="00F30E39" w:rsidRDefault="00FE30FE">
      <w:pPr>
        <w:rPr>
          <w:rFonts w:ascii="Lato" w:hAnsi="Lato"/>
        </w:rPr>
      </w:pPr>
    </w:p>
    <w:sectPr w:rsidR="00FE30FE" w:rsidRPr="00F30E39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5E910" w14:textId="77777777" w:rsidR="00B85992" w:rsidRDefault="00B85992" w:rsidP="00EE3EBA">
      <w:r>
        <w:separator/>
      </w:r>
    </w:p>
  </w:endnote>
  <w:endnote w:type="continuationSeparator" w:id="0">
    <w:p w14:paraId="4BEB418D" w14:textId="77777777" w:rsidR="00B85992" w:rsidRDefault="00B85992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79BA2" w14:textId="77777777" w:rsidR="00B85992" w:rsidRDefault="00B85992" w:rsidP="00EE3EBA">
      <w:r>
        <w:separator/>
      </w:r>
    </w:p>
  </w:footnote>
  <w:footnote w:type="continuationSeparator" w:id="0">
    <w:p w14:paraId="18C0D988" w14:textId="77777777" w:rsidR="00B85992" w:rsidRDefault="00B85992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FFA03FF"/>
    <w:multiLevelType w:val="multilevel"/>
    <w:tmpl w:val="E7AA1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66A5B"/>
    <w:multiLevelType w:val="multilevel"/>
    <w:tmpl w:val="E1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25189"/>
    <w:multiLevelType w:val="multilevel"/>
    <w:tmpl w:val="95A8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B0118"/>
    <w:multiLevelType w:val="multilevel"/>
    <w:tmpl w:val="6DD0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2B65E8"/>
    <w:multiLevelType w:val="hybridMultilevel"/>
    <w:tmpl w:val="BE960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31335"/>
    <w:multiLevelType w:val="multilevel"/>
    <w:tmpl w:val="27AC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281671"/>
    <w:rsid w:val="00437E7A"/>
    <w:rsid w:val="004857DE"/>
    <w:rsid w:val="004A2DD1"/>
    <w:rsid w:val="004C213D"/>
    <w:rsid w:val="004D291F"/>
    <w:rsid w:val="00547B26"/>
    <w:rsid w:val="005D2051"/>
    <w:rsid w:val="005D209E"/>
    <w:rsid w:val="005F1CB3"/>
    <w:rsid w:val="00683738"/>
    <w:rsid w:val="006A7AFB"/>
    <w:rsid w:val="006F4245"/>
    <w:rsid w:val="00737547"/>
    <w:rsid w:val="007E4EC6"/>
    <w:rsid w:val="00826C22"/>
    <w:rsid w:val="00873709"/>
    <w:rsid w:val="00992A88"/>
    <w:rsid w:val="009A3FF7"/>
    <w:rsid w:val="00AA5E03"/>
    <w:rsid w:val="00B85992"/>
    <w:rsid w:val="00BE2385"/>
    <w:rsid w:val="00D87CD4"/>
    <w:rsid w:val="00DE068A"/>
    <w:rsid w:val="00E76C0A"/>
    <w:rsid w:val="00EC6D7F"/>
    <w:rsid w:val="00EE3EBA"/>
    <w:rsid w:val="00F30E39"/>
    <w:rsid w:val="00F71D97"/>
    <w:rsid w:val="00F94D03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User</cp:lastModifiedBy>
  <cp:revision>2</cp:revision>
  <dcterms:created xsi:type="dcterms:W3CDTF">2026-09-15T13:10:00Z</dcterms:created>
  <dcterms:modified xsi:type="dcterms:W3CDTF">2026-09-15T13:10:00Z</dcterms:modified>
</cp:coreProperties>
</file>